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A7" w:rsidRDefault="006C0EA7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Pr="0094353B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9C1F02" w:rsidRPr="009C1F02" w:rsidRDefault="009C1F02" w:rsidP="009C1F02">
      <w:pPr>
        <w:pStyle w:val="a9"/>
        <w:jc w:val="center"/>
      </w:pP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Pr="00540562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E70FF0">
        <w:trPr>
          <w:trHeight w:val="362"/>
        </w:trPr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495A61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bookmarkStart w:id="5" w:name="_GoBack"/>
            <w:bookmarkEnd w:id="5"/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организатор закупки</w:t>
            </w:r>
          </w:p>
        </w:tc>
        <w:tc>
          <w:tcPr>
            <w:tcW w:w="6536" w:type="dxa"/>
          </w:tcPr>
          <w:p w:rsidR="00DB4FDD" w:rsidRPr="00E70FF0" w:rsidRDefault="00495A61" w:rsidP="00495A61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ПАО «Томскэнергосбыт</w:t>
            </w:r>
            <w:r w:rsidR="00E70FF0" w:rsidRPr="00E70FF0"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запроса цен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на право заключения договора на </w:t>
      </w:r>
      <w:r w:rsidR="00DF1E47">
        <w:rPr>
          <w:rFonts w:ascii="Times New Roman" w:hAnsi="Times New Roman"/>
          <w:sz w:val="24"/>
          <w:szCs w:val="24"/>
          <w:lang w:val="ru-RU"/>
        </w:rPr>
        <w:t xml:space="preserve">выполнение </w:t>
      </w:r>
      <w:r w:rsidR="00C71965">
        <w:rPr>
          <w:rFonts w:ascii="Times New Roman" w:hAnsi="Times New Roman"/>
          <w:sz w:val="24"/>
          <w:szCs w:val="24"/>
          <w:lang w:val="ru-RU"/>
        </w:rPr>
        <w:t>поставок/</w:t>
      </w:r>
      <w:r w:rsidR="00DF1E47">
        <w:rPr>
          <w:rFonts w:ascii="Times New Roman" w:hAnsi="Times New Roman"/>
          <w:sz w:val="24"/>
          <w:szCs w:val="24"/>
          <w:lang w:val="ru-RU"/>
        </w:rPr>
        <w:t>работ/оказание услуг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36065" w:rsidRPr="009075C6" w:rsidRDefault="00DB4FDD" w:rsidP="0063606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36065">
        <w:rPr>
          <w:rFonts w:ascii="Times New Roman" w:hAnsi="Times New Roman"/>
          <w:i/>
          <w:sz w:val="24"/>
          <w:szCs w:val="24"/>
          <w:lang w:val="ru-RU"/>
        </w:rPr>
        <w:t>в течение 10, а в случае замечаний к индивидуальным экспертным оценкам - 13</w:t>
      </w:r>
      <w:r w:rsidR="00636065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636065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0677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636065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636065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010677" w:rsidRDefault="00DB4FDD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10677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010677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010677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010677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010677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010677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10677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010677" w:rsidP="00010677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10677" w:rsidRPr="00DB4FDD" w:rsidRDefault="00010677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proofErr w:type="gramStart"/>
      <w:r w:rsidRPr="00DB4FDD">
        <w:rPr>
          <w:sz w:val="24"/>
        </w:rPr>
        <w:t>поставки товара</w:t>
      </w:r>
      <w:r w:rsidR="001735C2">
        <w:rPr>
          <w:sz w:val="24"/>
        </w:rPr>
        <w:t>/выполнения работ/оказания услуг</w:t>
      </w:r>
      <w:proofErr w:type="gramEnd"/>
      <w:r w:rsidRPr="00DB4FDD">
        <w:rPr>
          <w:sz w:val="24"/>
        </w:rPr>
        <w:t>;</w:t>
      </w:r>
    </w:p>
    <w:p w:rsidR="00F35E78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рассматриваются сроки предоставляемой гарантии;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636065" w:rsidRDefault="00636065" w:rsidP="00636065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636065" w:rsidRPr="00DB4FDD" w:rsidRDefault="00636065" w:rsidP="00636065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F35E78" w:rsidRPr="00DB4FDD" w:rsidRDefault="00F35E78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1735C2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1735C2" w:rsidRPr="00DB4FDD">
        <w:rPr>
          <w:sz w:val="24"/>
        </w:rPr>
        <w:t xml:space="preserve">рассматриваются </w:t>
      </w:r>
      <w:r w:rsidR="001735C2">
        <w:rPr>
          <w:sz w:val="24"/>
        </w:rPr>
        <w:t xml:space="preserve">ресурсные возможности: </w:t>
      </w:r>
      <w:r w:rsidR="001735C2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1735C2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145538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E47728" w:rsidRDefault="00E47728" w:rsidP="00E47728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61C93" w:rsidRPr="00361C93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 xml:space="preserve">- </w:t>
      </w:r>
      <w:r w:rsidR="00BC7E4F">
        <w:rPr>
          <w:sz w:val="24"/>
        </w:rPr>
        <w:t xml:space="preserve">Финансово-экономическая экспертиза проводится на основании </w:t>
      </w:r>
      <w:r w:rsidR="00BC7E4F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BC7E4F">
        <w:rPr>
          <w:sz w:val="24"/>
        </w:rPr>
        <w:t>.</w:t>
      </w:r>
    </w:p>
    <w:p w:rsidR="00856C55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lastRenderedPageBreak/>
        <w:t>-    другие вопросы Закупочной комиссии.</w:t>
      </w:r>
    </w:p>
    <w:p w:rsidR="00F35E78" w:rsidRPr="00361C93" w:rsidRDefault="00F35E78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lang w:val="en-US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145538">
        <w:rPr>
          <w:sz w:val="24"/>
        </w:rPr>
        <w:t xml:space="preserve"> 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BE5437" w:rsidRDefault="00BE5437" w:rsidP="00BE543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Критерий «Деловая репутация» оценивается </w:t>
      </w:r>
      <w:r w:rsidRPr="004957AB">
        <w:rPr>
          <w:color w:val="000000"/>
          <w:sz w:val="24"/>
        </w:rPr>
        <w:t xml:space="preserve"> на </w:t>
      </w:r>
      <w:r w:rsidRPr="004957AB">
        <w:rPr>
          <w:sz w:val="24"/>
        </w:rPr>
        <w:t>основании Методики оценки деловой репутации контрагентов – резидентов РФ.</w:t>
      </w:r>
    </w:p>
    <w:p w:rsidR="00DB4FDD" w:rsidRPr="006C0EA7" w:rsidRDefault="00BE5437" w:rsidP="00BE543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</w:t>
      </w:r>
      <w:proofErr w:type="gramStart"/>
      <w:r w:rsidRPr="00C76F09">
        <w:rPr>
          <w:sz w:val="24"/>
        </w:rPr>
        <w:t>.</w:t>
      </w:r>
      <w:r w:rsidR="00DB4FDD" w:rsidRPr="006C0EA7">
        <w:rPr>
          <w:sz w:val="24"/>
        </w:rPr>
        <w:t>;</w:t>
      </w:r>
      <w:proofErr w:type="gramEnd"/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>В запросе цен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открытого (закрытого) запроса цен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FC59EE" w:rsidRDefault="00FC59EE" w:rsidP="00FC59E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При этом:</w:t>
      </w:r>
    </w:p>
    <w:p w:rsidR="00FC59EE" w:rsidRPr="003715AC" w:rsidRDefault="00FC59EE" w:rsidP="00FC59E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</w:t>
      </w:r>
      <w:r w:rsidRPr="003715AC">
        <w:rPr>
          <w:b/>
        </w:rPr>
        <w:lastRenderedPageBreak/>
        <w:t>15% от цены договора.</w:t>
      </w:r>
    </w:p>
    <w:p w:rsidR="00FC59EE" w:rsidRPr="003715AC" w:rsidRDefault="00FC59EE" w:rsidP="00FC59E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FC59EE" w:rsidRPr="005E1FF2" w:rsidRDefault="00FC59EE" w:rsidP="000D4259">
      <w:pPr>
        <w:spacing w:line="240" w:lineRule="auto"/>
        <w:ind w:firstLine="709"/>
        <w:rPr>
          <w:sz w:val="24"/>
          <w:szCs w:val="24"/>
        </w:rPr>
      </w:pP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>
        <w:rPr>
          <w:sz w:val="24"/>
          <w:szCs w:val="24"/>
        </w:rPr>
        <w:t>5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DE5CB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DE5CB9" w:rsidRPr="006C0EA7" w:rsidRDefault="00DE5CB9" w:rsidP="00DE5CB9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>
        <w:rPr>
          <w:sz w:val="24"/>
          <w:szCs w:val="24"/>
        </w:rPr>
        <w:t>При проведении процедуры переторжки  предыдущее ранжирование участников считается предварительным. После проведения переторжки 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проведении переторжки повторно проводиться только коммерческая экспертиза и экспертиза смет (при необходимости).</w:t>
      </w:r>
    </w:p>
    <w:p w:rsidR="00DE5CB9" w:rsidRPr="00DE5CB9" w:rsidRDefault="00DE5CB9" w:rsidP="000D4259">
      <w:pPr>
        <w:spacing w:line="240" w:lineRule="auto"/>
        <w:ind w:firstLine="709"/>
        <w:rPr>
          <w:sz w:val="24"/>
          <w:szCs w:val="24"/>
        </w:rPr>
      </w:pP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8F6E8A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A4EF3" w:rsidRPr="00251723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CA4EF3" w:rsidP="0001067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 w:rsidR="00FF7F63"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 w:rsidR="00010677"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="00DF1E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145538">
              <w:rPr>
                <w:sz w:val="24"/>
                <w:szCs w:val="24"/>
              </w:rPr>
              <w:t>сметн</w:t>
            </w:r>
            <w:r w:rsidR="00285279">
              <w:rPr>
                <w:sz w:val="24"/>
                <w:szCs w:val="24"/>
              </w:rPr>
              <w:t>а</w:t>
            </w:r>
            <w:r w:rsidR="00145538">
              <w:rPr>
                <w:sz w:val="24"/>
                <w:szCs w:val="24"/>
              </w:rPr>
              <w:t xml:space="preserve">я, </w:t>
            </w:r>
            <w:r w:rsidR="00F35E78">
              <w:rPr>
                <w:sz w:val="24"/>
                <w:szCs w:val="24"/>
              </w:rPr>
              <w:t xml:space="preserve">квалификационная, </w:t>
            </w:r>
            <w:r>
              <w:rPr>
                <w:sz w:val="24"/>
                <w:szCs w:val="24"/>
              </w:rPr>
              <w:t xml:space="preserve">юридическая, </w:t>
            </w:r>
            <w:r w:rsidR="000106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финансово-экономическая, </w:t>
            </w:r>
            <w:r w:rsidR="00010677">
              <w:rPr>
                <w:sz w:val="24"/>
                <w:szCs w:val="24"/>
              </w:rPr>
              <w:t xml:space="preserve">коммерческая, </w:t>
            </w:r>
            <w:r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010677">
        <w:rPr>
          <w:b/>
          <w:i/>
          <w:snapToGrid/>
        </w:rPr>
        <w:t>(указывается наименование  Участника)</w:t>
      </w:r>
      <w:r w:rsidR="00010677" w:rsidRPr="00010677">
        <w:rPr>
          <w:b/>
          <w:i/>
          <w:snapToGrid/>
        </w:rPr>
        <w:t>,</w:t>
      </w:r>
      <w:r w:rsidR="00010677" w:rsidRPr="00010677">
        <w:rPr>
          <w:b/>
          <w:snapToGrid/>
        </w:rPr>
        <w:t xml:space="preserve"> а именно: </w:t>
      </w:r>
      <w:r w:rsidR="00010677" w:rsidRPr="00010677">
        <w:rPr>
          <w:b/>
          <w:i/>
          <w:snapToGrid/>
        </w:rPr>
        <w:t>(перечисляются все несоответствия со ссылкой на пункт закупочной документации)</w:t>
      </w:r>
      <w:r w:rsidRPr="00010677">
        <w:rPr>
          <w:b/>
          <w:i/>
          <w:snapToGrid/>
        </w:rPr>
        <w:t xml:space="preserve">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10677" w:rsidRDefault="00010677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1559"/>
        <w:gridCol w:w="1559"/>
        <w:gridCol w:w="1637"/>
        <w:gridCol w:w="206"/>
        <w:gridCol w:w="199"/>
        <w:gridCol w:w="1219"/>
        <w:gridCol w:w="199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E13EC4">
        <w:trPr>
          <w:gridAfter w:val="6"/>
          <w:wAfter w:w="3042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47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E13EC4">
        <w:trPr>
          <w:gridAfter w:val="6"/>
          <w:wAfter w:w="3042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0D4259">
        <w:trPr>
          <w:gridAfter w:val="6"/>
          <w:wAfter w:w="3042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FC59E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FC59EE">
              <w:rPr>
                <w:b/>
                <w:sz w:val="24"/>
                <w:szCs w:val="24"/>
              </w:rPr>
              <w:t xml:space="preserve"> с учетом преференции</w:t>
            </w:r>
            <w:r w:rsidR="00DF1E47">
              <w:rPr>
                <w:b/>
                <w:sz w:val="24"/>
                <w:szCs w:val="24"/>
              </w:rPr>
              <w:t>, в руб.,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D46A8A" w:rsidRDefault="00D449A2" w:rsidP="00796967">
      <w:pPr>
        <w:pStyle w:val="a7"/>
        <w:jc w:val="right"/>
      </w:pPr>
      <w:r w:rsidRPr="00D449A2">
        <w:lastRenderedPageBreak/>
        <w:t xml:space="preserve">Приложение </w:t>
      </w:r>
      <w:r w:rsidR="000D4259">
        <w:t>5</w:t>
      </w:r>
    </w:p>
    <w:p w:rsidR="008F6E8A" w:rsidRPr="00145538" w:rsidRDefault="00145538" w:rsidP="00145538">
      <w:pPr>
        <w:pStyle w:val="af5"/>
        <w:jc w:val="right"/>
        <w:rPr>
          <w:b/>
          <w:sz w:val="32"/>
          <w:szCs w:val="32"/>
        </w:rPr>
      </w:pPr>
      <w:r w:rsidRPr="00145538">
        <w:rPr>
          <w:b/>
          <w:sz w:val="32"/>
          <w:szCs w:val="32"/>
        </w:rPr>
        <w:t>ИК №_______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</w:p>
    <w:p w:rsidR="00493B51" w:rsidRDefault="00493B51" w:rsidP="00493B51">
      <w:pPr>
        <w:pStyle w:val="a5"/>
        <w:tabs>
          <w:tab w:val="left" w:pos="708"/>
        </w:tabs>
        <w:spacing w:before="0" w:line="240" w:lineRule="auto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</w:t>
      </w:r>
    </w:p>
    <w:p w:rsidR="00493B51" w:rsidRPr="00233CF8" w:rsidRDefault="00493B51" w:rsidP="00493B51">
      <w:pPr>
        <w:pStyle w:val="a5"/>
        <w:tabs>
          <w:tab w:val="left" w:pos="708"/>
        </w:tabs>
        <w:spacing w:before="0" w:line="240" w:lineRule="auto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493B51" w:rsidRPr="009075C6" w:rsidTr="00493B51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493B51" w:rsidRPr="00F52DEC" w:rsidRDefault="00FC59EE" w:rsidP="00493B5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Плановая стоимость закупки: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FC59EE" w:rsidRPr="009075C6" w:rsidTr="00FC59EE">
        <w:trPr>
          <w:trHeight w:val="991"/>
        </w:trPr>
        <w:tc>
          <w:tcPr>
            <w:tcW w:w="582" w:type="dxa"/>
            <w:vMerge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Merge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EE" w:rsidRPr="00FC59EE" w:rsidRDefault="00FC59EE" w:rsidP="00FC59EE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C59EE">
              <w:rPr>
                <w:b/>
                <w:bCs/>
                <w:i/>
                <w:iCs/>
                <w:sz w:val="22"/>
                <w:szCs w:val="22"/>
              </w:rPr>
              <w:t>Наименование Участника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C59EE" w:rsidRDefault="00FC59EE" w:rsidP="00FC59EE">
            <w:pPr>
              <w:spacing w:line="240" w:lineRule="auto"/>
              <w:ind w:firstLine="0"/>
              <w:jc w:val="center"/>
            </w:pPr>
            <w:r w:rsidRPr="00637132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Участника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FC59EE" w:rsidRDefault="00FC59EE" w:rsidP="00FC59EE">
            <w:pPr>
              <w:spacing w:line="240" w:lineRule="auto"/>
              <w:ind w:firstLine="0"/>
              <w:jc w:val="center"/>
            </w:pPr>
            <w:r w:rsidRPr="00637132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Участника 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n</w:t>
            </w:r>
          </w:p>
        </w:tc>
      </w:tr>
      <w:tr w:rsidR="00FC59EE" w:rsidRPr="009075C6" w:rsidTr="00414950">
        <w:trPr>
          <w:trHeight w:val="991"/>
        </w:trPr>
        <w:tc>
          <w:tcPr>
            <w:tcW w:w="582" w:type="dxa"/>
            <w:vAlign w:val="center"/>
          </w:tcPr>
          <w:p w:rsidR="00FC59EE" w:rsidRPr="009075C6" w:rsidRDefault="00FC59EE" w:rsidP="00493B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Align w:val="center"/>
          </w:tcPr>
          <w:p w:rsidR="00FC59EE" w:rsidRPr="009075C6" w:rsidRDefault="00FC59EE" w:rsidP="00FC59EE">
            <w:pPr>
              <w:ind w:hanging="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________________________________ 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, без НДС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>участника 1: ___________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 xml:space="preserve">участника </w:t>
            </w:r>
            <w:r w:rsidRPr="00FC59EE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: ___________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FC59EE" w:rsidRPr="00FC59EE" w:rsidRDefault="00FC59EE" w:rsidP="00FC59EE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FC59EE">
              <w:rPr>
                <w:bCs/>
                <w:sz w:val="22"/>
                <w:szCs w:val="22"/>
              </w:rPr>
              <w:t xml:space="preserve">Цена оферты </w:t>
            </w:r>
            <w:r>
              <w:rPr>
                <w:bCs/>
                <w:sz w:val="22"/>
                <w:szCs w:val="22"/>
              </w:rPr>
              <w:t xml:space="preserve">участника </w:t>
            </w:r>
            <w:r>
              <w:rPr>
                <w:bCs/>
                <w:sz w:val="22"/>
                <w:szCs w:val="22"/>
                <w:lang w:val="en-US"/>
              </w:rPr>
              <w:t>n</w:t>
            </w:r>
            <w:r>
              <w:rPr>
                <w:bCs/>
                <w:sz w:val="22"/>
                <w:szCs w:val="22"/>
              </w:rPr>
              <w:t xml:space="preserve">: ___________ </w:t>
            </w:r>
            <w:proofErr w:type="spellStart"/>
            <w:r>
              <w:rPr>
                <w:bCs/>
                <w:sz w:val="22"/>
                <w:szCs w:val="22"/>
              </w:rPr>
              <w:t>руб</w:t>
            </w:r>
            <w:proofErr w:type="spellEnd"/>
            <w:r>
              <w:rPr>
                <w:bCs/>
                <w:sz w:val="22"/>
                <w:szCs w:val="22"/>
              </w:rPr>
              <w:t>, без НДС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493B5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493B5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493B51" w:rsidRPr="009075C6" w:rsidTr="00493B51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493B51" w:rsidRDefault="00493B51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93B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251723" w:rsidRDefault="0007647E" w:rsidP="00493B5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9075C6" w:rsidRDefault="00493B51" w:rsidP="00493B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93B51" w:rsidRPr="009075C6" w:rsidTr="00FC59EE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9B2060" w:rsidRDefault="00493B51" w:rsidP="00FC59EE">
            <w:pPr>
              <w:spacing w:line="48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</w:t>
            </w:r>
            <w:r w:rsidR="00FC59EE">
              <w:rPr>
                <w:b/>
                <w:szCs w:val="28"/>
              </w:rPr>
              <w:t xml:space="preserve"> </w:t>
            </w:r>
            <w:r w:rsidR="00FC59EE" w:rsidRPr="00FC59EE">
              <w:rPr>
                <w:i/>
                <w:szCs w:val="28"/>
              </w:rPr>
              <w:t xml:space="preserve">(выбрать </w:t>
            </w:r>
            <w:proofErr w:type="gramStart"/>
            <w:r w:rsidR="00FC59EE" w:rsidRPr="00FC59EE">
              <w:rPr>
                <w:i/>
                <w:szCs w:val="28"/>
              </w:rPr>
              <w:t>нужное</w:t>
            </w:r>
            <w:proofErr w:type="gramEnd"/>
            <w:r w:rsidR="00FC59EE" w:rsidRPr="00FC59EE">
              <w:rPr>
                <w:i/>
                <w:szCs w:val="28"/>
              </w:rPr>
              <w:t>)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FC59EE">
            <w:pPr>
              <w:ind w:firstLine="0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493B51" w:rsidRPr="009075C6" w:rsidTr="00493B5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93B51" w:rsidRPr="009075C6" w:rsidRDefault="00493B51" w:rsidP="00FC59EE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93B51" w:rsidRPr="009075C6" w:rsidRDefault="00493B51" w:rsidP="00FC59EE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2814"/>
      </w:tblGrid>
      <w:tr w:rsidR="00493B51" w:rsidRPr="009075C6" w:rsidTr="00493B51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0D4259" w:rsidP="00FC59EE">
            <w:pPr>
              <w:ind w:firstLine="4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51" w:rsidRPr="00D111EE" w:rsidRDefault="000D4259" w:rsidP="00FC59E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DF1E47">
              <w:rPr>
                <w:b/>
                <w:sz w:val="24"/>
                <w:szCs w:val="24"/>
              </w:rPr>
              <w:t xml:space="preserve"> </w:t>
            </w:r>
            <w:r w:rsidR="00FC59EE">
              <w:rPr>
                <w:b/>
                <w:sz w:val="24"/>
                <w:szCs w:val="24"/>
              </w:rPr>
              <w:t xml:space="preserve">с учетом преференции, </w:t>
            </w:r>
            <w:r w:rsidR="00DF1E47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="00DF1E47">
              <w:rPr>
                <w:b/>
                <w:sz w:val="24"/>
                <w:szCs w:val="24"/>
              </w:rPr>
              <w:t>руб</w:t>
            </w:r>
            <w:proofErr w:type="spellEnd"/>
            <w:r w:rsidR="00DF1E47">
              <w:rPr>
                <w:b/>
                <w:sz w:val="24"/>
                <w:szCs w:val="24"/>
              </w:rPr>
              <w:t>,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B51" w:rsidRPr="00691977" w:rsidRDefault="00493B51" w:rsidP="00FC59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1E2E81" w:rsidRPr="009075C6" w:rsidTr="001E2E81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E2E81" w:rsidRPr="00DF1E47" w:rsidRDefault="00DF1E47" w:rsidP="00FC59EE">
            <w:pPr>
              <w:spacing w:line="240" w:lineRule="auto"/>
              <w:jc w:val="center"/>
              <w:rPr>
                <w:b/>
                <w:sz w:val="40"/>
                <w:szCs w:val="40"/>
              </w:rPr>
            </w:pPr>
            <w:r w:rsidRPr="00DF1E47">
              <w:rPr>
                <w:b/>
                <w:sz w:val="40"/>
                <w:szCs w:val="40"/>
              </w:rPr>
              <w:t>Итоговое место</w:t>
            </w:r>
            <w:r w:rsidR="00F35E78">
              <w:rPr>
                <w:b/>
                <w:sz w:val="40"/>
                <w:szCs w:val="40"/>
              </w:rPr>
              <w:t xml:space="preserve"> </w:t>
            </w:r>
            <w:r w:rsidR="00FC59EE">
              <w:rPr>
                <w:b/>
                <w:sz w:val="40"/>
                <w:szCs w:val="40"/>
              </w:rPr>
              <w:br/>
            </w:r>
            <w:r w:rsidR="00F35E78" w:rsidRPr="00F35E78">
              <w:rPr>
                <w:b/>
                <w:sz w:val="24"/>
                <w:szCs w:val="24"/>
              </w:rPr>
              <w:t>(ранжир по цене</w:t>
            </w:r>
            <w:r w:rsidR="00FC59EE" w:rsidRPr="00FC59EE">
              <w:rPr>
                <w:b/>
                <w:sz w:val="24"/>
                <w:szCs w:val="24"/>
              </w:rPr>
              <w:t xml:space="preserve"> </w:t>
            </w:r>
            <w:r w:rsidR="00FC59EE">
              <w:rPr>
                <w:b/>
                <w:sz w:val="24"/>
                <w:szCs w:val="24"/>
              </w:rPr>
              <w:t>с учетом преференций</w:t>
            </w:r>
            <w:r w:rsidR="00F35E78" w:rsidRPr="00F35E78">
              <w:rPr>
                <w:b/>
                <w:sz w:val="24"/>
                <w:szCs w:val="24"/>
              </w:rPr>
              <w:t>)</w:t>
            </w:r>
            <w:r w:rsidRPr="00DF1E47">
              <w:rPr>
                <w:b/>
                <w:sz w:val="40"/>
                <w:szCs w:val="40"/>
              </w:rPr>
              <w:t>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81" w:rsidRPr="00414950" w:rsidRDefault="001E2E81" w:rsidP="001E2E81">
            <w:pPr>
              <w:spacing w:line="240" w:lineRule="auto"/>
              <w:ind w:firstLine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493B51" w:rsidRDefault="002730B4" w:rsidP="00493B51">
      <w:pPr>
        <w:pStyle w:val="af5"/>
      </w:pPr>
      <w:r>
        <w:t>Комментарии в случае несоответствия участника:</w:t>
      </w: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E0DC8" w:rsidRDefault="004E0DC8" w:rsidP="00493B51">
      <w:pPr>
        <w:pStyle w:val="af6"/>
        <w:spacing w:before="0" w:line="240" w:lineRule="auto"/>
        <w:rPr>
          <w:snapToGrid w:val="0"/>
          <w:sz w:val="24"/>
        </w:rPr>
      </w:pPr>
    </w:p>
    <w:p w:rsidR="00493B51" w:rsidRDefault="00493B51" w:rsidP="004E0DC8">
      <w:pPr>
        <w:pStyle w:val="af6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lastRenderedPageBreak/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Допустить Участников:___________________; </w:t>
      </w:r>
    </w:p>
    <w:p w:rsid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414950" w:rsidRPr="004E0DC8" w:rsidRDefault="00493B51" w:rsidP="004E0DC8">
      <w:pPr>
        <w:pStyle w:val="af6"/>
        <w:numPr>
          <w:ilvl w:val="0"/>
          <w:numId w:val="31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="00414950" w:rsidRPr="004E0DC8">
        <w:rPr>
          <w:sz w:val="24"/>
          <w:szCs w:val="24"/>
        </w:rPr>
        <w:t>закупочной процедуры</w:t>
      </w:r>
      <w:r w:rsidRPr="004E0DC8">
        <w:rPr>
          <w:sz w:val="24"/>
          <w:szCs w:val="24"/>
        </w:rPr>
        <w:t xml:space="preserve"> на право заключения договора </w:t>
      </w:r>
      <w:r w:rsidRPr="004E0DC8">
        <w:rPr>
          <w:sz w:val="24"/>
        </w:rPr>
        <w:t xml:space="preserve">на поставку </w:t>
      </w:r>
      <w:r w:rsidR="00414950" w:rsidRPr="004E0DC8">
        <w:rPr>
          <w:sz w:val="24"/>
        </w:rPr>
        <w:t>__________________________________________________</w:t>
      </w:r>
      <w:r w:rsidR="00414950"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 w:rsidR="004E0DC8">
        <w:rPr>
          <w:snapToGrid w:val="0"/>
          <w:sz w:val="24"/>
        </w:rPr>
        <w:t>______________________________________________________________________________</w:t>
      </w:r>
    </w:p>
    <w:p w:rsidR="00493B51" w:rsidRPr="00414950" w:rsidRDefault="00493B51" w:rsidP="004E0DC8">
      <w:pPr>
        <w:pStyle w:val="af6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 w:rsidR="00414950">
        <w:rPr>
          <w:sz w:val="24"/>
          <w:szCs w:val="24"/>
        </w:rPr>
        <w:t>_______________________________________________</w:t>
      </w:r>
      <w:r w:rsidRPr="00414950">
        <w:rPr>
          <w:sz w:val="24"/>
          <w:szCs w:val="24"/>
        </w:rPr>
        <w:t xml:space="preserve">, </w:t>
      </w:r>
      <w:r w:rsidR="000D4259"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493B51" w:rsidRDefault="00493B51" w:rsidP="004E0DC8">
      <w:pPr>
        <w:pStyle w:val="af5"/>
        <w:spacing w:line="240" w:lineRule="auto"/>
        <w:ind w:firstLine="709"/>
      </w:pPr>
    </w:p>
    <w:p w:rsidR="00AF6DEB" w:rsidRDefault="00AF6DEB" w:rsidP="004E0DC8">
      <w:pPr>
        <w:pStyle w:val="af5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505"/>
        <w:gridCol w:w="5010"/>
      </w:tblGrid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D46A8A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  <w:r w:rsidRPr="0097688D">
              <w:rPr>
                <w:szCs w:val="24"/>
              </w:rPr>
              <w:t xml:space="preserve"> экспертной группы</w:t>
            </w:r>
            <w:r w:rsidR="00325648">
              <w:rPr>
                <w:szCs w:val="24"/>
              </w:rPr>
              <w:t xml:space="preserve"> (эксперт)</w:t>
            </w:r>
            <w:r w:rsidRPr="0097688D">
              <w:rPr>
                <w:szCs w:val="24"/>
              </w:rPr>
              <w:t>:</w:t>
            </w:r>
          </w:p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</w:p>
        </w:tc>
      </w:tr>
      <w:tr w:rsidR="00D46A8A" w:rsidRPr="00733C15" w:rsidTr="00325648">
        <w:trPr>
          <w:trHeight w:val="304"/>
          <w:jc w:val="center"/>
        </w:trPr>
        <w:tc>
          <w:tcPr>
            <w:tcW w:w="2596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97688D">
              <w:rPr>
                <w:szCs w:val="24"/>
              </w:rPr>
              <w:t>_________________</w:t>
            </w:r>
          </w:p>
        </w:tc>
        <w:tc>
          <w:tcPr>
            <w:tcW w:w="2505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</w:tcPr>
          <w:p w:rsidR="00D46A8A" w:rsidRPr="0097688D" w:rsidRDefault="00D46A8A" w:rsidP="004E0DC8">
            <w:pPr>
              <w:tabs>
                <w:tab w:val="left" w:pos="6840"/>
              </w:tabs>
              <w:spacing w:line="240" w:lineRule="auto"/>
              <w:ind w:firstLine="0"/>
              <w:rPr>
                <w:szCs w:val="24"/>
              </w:rPr>
            </w:pPr>
            <w:r w:rsidRPr="00820B92">
              <w:rPr>
                <w:szCs w:val="24"/>
              </w:rPr>
              <w:t>–</w:t>
            </w:r>
            <w:r w:rsidRPr="0097688D">
              <w:rPr>
                <w:szCs w:val="24"/>
              </w:rPr>
              <w:t xml:space="preserve"> </w:t>
            </w:r>
            <w:r>
              <w:rPr>
                <w:szCs w:val="24"/>
              </w:rPr>
              <w:t>должность</w:t>
            </w:r>
          </w:p>
        </w:tc>
      </w:tr>
      <w:tr w:rsidR="00D46A8A" w:rsidRPr="00733C15" w:rsidTr="00325648">
        <w:trPr>
          <w:trHeight w:val="594"/>
          <w:jc w:val="center"/>
        </w:trPr>
        <w:tc>
          <w:tcPr>
            <w:tcW w:w="10111" w:type="dxa"/>
            <w:gridSpan w:val="3"/>
          </w:tcPr>
          <w:p w:rsidR="00414950" w:rsidRPr="0097688D" w:rsidRDefault="00414950" w:rsidP="004E0DC8">
            <w:pPr>
              <w:tabs>
                <w:tab w:val="left" w:pos="6840"/>
              </w:tabs>
              <w:spacing w:line="240" w:lineRule="auto"/>
              <w:ind w:firstLine="0"/>
              <w:rPr>
                <w:bCs/>
                <w:szCs w:val="24"/>
              </w:rPr>
            </w:pPr>
          </w:p>
        </w:tc>
      </w:tr>
    </w:tbl>
    <w:p w:rsidR="00BE6089" w:rsidRDefault="00D46A8A" w:rsidP="004E0DC8">
      <w:pPr>
        <w:pStyle w:val="a9"/>
        <w:spacing w:line="240" w:lineRule="auto"/>
        <w:ind w:firstLine="0"/>
      </w:pPr>
      <w:r w:rsidRPr="00256321">
        <w:t xml:space="preserve">Приложение: </w:t>
      </w:r>
      <w:r w:rsidR="00377E66">
        <w:t>индивидуальные экспертные заключения</w:t>
      </w:r>
      <w:r w:rsidR="005C4B0F" w:rsidRPr="005C4B0F">
        <w:t xml:space="preserve"> </w:t>
      </w:r>
      <w:r w:rsidR="005C4B0F">
        <w:t>(в случае наличия)</w:t>
      </w:r>
      <w:r w:rsidR="00377E66">
        <w:t>.</w:t>
      </w:r>
    </w:p>
    <w:sectPr w:rsidR="00BE6089" w:rsidSect="00493B51">
      <w:pgSz w:w="16838" w:h="11906" w:orient="landscape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4F5" w:rsidRDefault="003334F5">
      <w:r>
        <w:separator/>
      </w:r>
    </w:p>
  </w:endnote>
  <w:endnote w:type="continuationSeparator" w:id="0">
    <w:p w:rsidR="003334F5" w:rsidRDefault="00333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48" w:rsidRDefault="0032564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495A61">
      <w:rPr>
        <w:noProof/>
      </w:rPr>
      <w:t>2</w:t>
    </w:r>
    <w:r>
      <w:fldChar w:fldCharType="end"/>
    </w:r>
  </w:p>
  <w:p w:rsidR="00325648" w:rsidRDefault="003256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4F5" w:rsidRDefault="003334F5">
      <w:r>
        <w:separator/>
      </w:r>
    </w:p>
  </w:footnote>
  <w:footnote w:type="continuationSeparator" w:id="0">
    <w:p w:rsidR="003334F5" w:rsidRDefault="003334F5">
      <w:r>
        <w:continuationSeparator/>
      </w:r>
    </w:p>
  </w:footnote>
  <w:footnote w:id="1">
    <w:p w:rsidR="00010677" w:rsidRDefault="00010677" w:rsidP="00010677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19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2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0677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7647E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5538"/>
    <w:rsid w:val="00146131"/>
    <w:rsid w:val="00146B99"/>
    <w:rsid w:val="00150D94"/>
    <w:rsid w:val="00155463"/>
    <w:rsid w:val="00156E4A"/>
    <w:rsid w:val="001636D4"/>
    <w:rsid w:val="00173271"/>
    <w:rsid w:val="0017354C"/>
    <w:rsid w:val="001735C2"/>
    <w:rsid w:val="00175BD9"/>
    <w:rsid w:val="001767C2"/>
    <w:rsid w:val="00177F34"/>
    <w:rsid w:val="00177FE8"/>
    <w:rsid w:val="00192432"/>
    <w:rsid w:val="001A06D6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2044AA"/>
    <w:rsid w:val="002075A4"/>
    <w:rsid w:val="002157D4"/>
    <w:rsid w:val="00221418"/>
    <w:rsid w:val="002234E3"/>
    <w:rsid w:val="00233CF8"/>
    <w:rsid w:val="002428E0"/>
    <w:rsid w:val="002448CB"/>
    <w:rsid w:val="00245091"/>
    <w:rsid w:val="002464B9"/>
    <w:rsid w:val="002510B0"/>
    <w:rsid w:val="0026179B"/>
    <w:rsid w:val="00264982"/>
    <w:rsid w:val="00266276"/>
    <w:rsid w:val="002730B4"/>
    <w:rsid w:val="002730D6"/>
    <w:rsid w:val="00274855"/>
    <w:rsid w:val="00275007"/>
    <w:rsid w:val="002800F9"/>
    <w:rsid w:val="00285279"/>
    <w:rsid w:val="00287FD0"/>
    <w:rsid w:val="002B14C3"/>
    <w:rsid w:val="002B2C92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334F5"/>
    <w:rsid w:val="003459BA"/>
    <w:rsid w:val="003510C5"/>
    <w:rsid w:val="00355275"/>
    <w:rsid w:val="00357B2D"/>
    <w:rsid w:val="00357E7E"/>
    <w:rsid w:val="00361C93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707D"/>
    <w:rsid w:val="003F1CFA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95A61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6065"/>
    <w:rsid w:val="0063755A"/>
    <w:rsid w:val="00642EF0"/>
    <w:rsid w:val="00647BA5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34FF3"/>
    <w:rsid w:val="0074492C"/>
    <w:rsid w:val="00744A73"/>
    <w:rsid w:val="00751012"/>
    <w:rsid w:val="00755048"/>
    <w:rsid w:val="00763F40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6C55"/>
    <w:rsid w:val="0085770F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25FA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3480"/>
    <w:rsid w:val="00A60B35"/>
    <w:rsid w:val="00A6101B"/>
    <w:rsid w:val="00A668F8"/>
    <w:rsid w:val="00A71CD2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AF6DEB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C7E4F"/>
    <w:rsid w:val="00BE34B8"/>
    <w:rsid w:val="00BE4091"/>
    <w:rsid w:val="00BE5437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1965"/>
    <w:rsid w:val="00C771EC"/>
    <w:rsid w:val="00C779FB"/>
    <w:rsid w:val="00C77B87"/>
    <w:rsid w:val="00C82B52"/>
    <w:rsid w:val="00C8329F"/>
    <w:rsid w:val="00C84686"/>
    <w:rsid w:val="00C8496C"/>
    <w:rsid w:val="00C866A1"/>
    <w:rsid w:val="00C923B8"/>
    <w:rsid w:val="00C92F91"/>
    <w:rsid w:val="00C93DF2"/>
    <w:rsid w:val="00C97150"/>
    <w:rsid w:val="00CA0A03"/>
    <w:rsid w:val="00CA0C3D"/>
    <w:rsid w:val="00CA4EF3"/>
    <w:rsid w:val="00CA5FF6"/>
    <w:rsid w:val="00CF7618"/>
    <w:rsid w:val="00D05066"/>
    <w:rsid w:val="00D075CC"/>
    <w:rsid w:val="00D10950"/>
    <w:rsid w:val="00D111EE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E5CB9"/>
    <w:rsid w:val="00DF1E47"/>
    <w:rsid w:val="00DF7458"/>
    <w:rsid w:val="00E13EC4"/>
    <w:rsid w:val="00E158B0"/>
    <w:rsid w:val="00E163DF"/>
    <w:rsid w:val="00E23F25"/>
    <w:rsid w:val="00E278F0"/>
    <w:rsid w:val="00E43D8E"/>
    <w:rsid w:val="00E47342"/>
    <w:rsid w:val="00E47728"/>
    <w:rsid w:val="00E508A9"/>
    <w:rsid w:val="00E50F29"/>
    <w:rsid w:val="00E54263"/>
    <w:rsid w:val="00E63756"/>
    <w:rsid w:val="00E63D89"/>
    <w:rsid w:val="00E648C5"/>
    <w:rsid w:val="00E70FF0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04BD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35E78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175"/>
    <w:rsid w:val="00FC1694"/>
    <w:rsid w:val="00FC59EE"/>
    <w:rsid w:val="00FC6252"/>
    <w:rsid w:val="00FD69D4"/>
    <w:rsid w:val="00FE00E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EDFB-66B0-45AD-9916-21FC7927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13</Pages>
  <Words>3200</Words>
  <Characters>18241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Кондратьева Елена Сергеевна</cp:lastModifiedBy>
  <cp:revision>59</cp:revision>
  <cp:lastPrinted>2011-09-26T05:32:00Z</cp:lastPrinted>
  <dcterms:created xsi:type="dcterms:W3CDTF">2011-10-05T05:48:00Z</dcterms:created>
  <dcterms:modified xsi:type="dcterms:W3CDTF">2017-02-14T04:43:00Z</dcterms:modified>
</cp:coreProperties>
</file>